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13A3E" w14:textId="77777777" w:rsidR="00192DF3" w:rsidRPr="00192DF3" w:rsidRDefault="00192DF3" w:rsidP="00192DF3">
      <w:r w:rsidRPr="00192DF3">
        <w:t>To</w:t>
      </w:r>
      <w:r w:rsidRPr="00192DF3">
        <w:br/>
        <w:t>The IFRS Interpretations Committee</w:t>
      </w:r>
      <w:r w:rsidRPr="00192DF3">
        <w:br/>
        <w:t>IFRS Foundation</w:t>
      </w:r>
    </w:p>
    <w:p w14:paraId="79745036" w14:textId="77777777" w:rsidR="00192DF3" w:rsidRPr="00192DF3" w:rsidRDefault="00192DF3" w:rsidP="00192DF3">
      <w:r w:rsidRPr="00192DF3">
        <w:rPr>
          <w:b/>
          <w:bCs/>
        </w:rPr>
        <w:t>Subject:</w:t>
      </w:r>
      <w:r w:rsidRPr="00192DF3">
        <w:t xml:space="preserve"> Comments on Proposed Updates to Committee’s Agenda Decisions for IFRS 18 –</w:t>
      </w:r>
      <w:r w:rsidRPr="00192DF3">
        <w:br/>
        <w:t>(a) Presentation of Payments on Non-Income Taxes (IAS 1 / IFRS 18) and</w:t>
      </w:r>
      <w:r w:rsidRPr="00192DF3">
        <w:br/>
        <w:t>(b) Classification of Tonnage Taxes (IAS 12)</w:t>
      </w:r>
    </w:p>
    <w:p w14:paraId="7E3612D6" w14:textId="77777777" w:rsidR="00192DF3" w:rsidRPr="00192DF3" w:rsidRDefault="00192DF3" w:rsidP="00192DF3">
      <w:r w:rsidRPr="00192DF3">
        <w:t>Dear Sir/Madam,</w:t>
      </w:r>
    </w:p>
    <w:p w14:paraId="7B7D993E" w14:textId="77777777" w:rsidR="00192DF3" w:rsidRPr="00192DF3" w:rsidRDefault="00192DF3" w:rsidP="00192DF3">
      <w:r w:rsidRPr="00192DF3">
        <w:t xml:space="preserve">We appreciate the opportunity to comment on the </w:t>
      </w:r>
      <w:r w:rsidRPr="00192DF3">
        <w:rPr>
          <w:b/>
          <w:bCs/>
        </w:rPr>
        <w:t>proposed updates to two existing agenda decisions</w:t>
      </w:r>
      <w:r w:rsidRPr="00192DF3">
        <w:t xml:space="preserve"> arising from the Committee’s recent discussions on </w:t>
      </w:r>
      <w:r w:rsidRPr="00192DF3">
        <w:rPr>
          <w:b/>
          <w:bCs/>
        </w:rPr>
        <w:t>Presentation of Taxes or Other Charges that are Not Income Taxes within the Scope of IAS 12 (IFRS 18)</w:t>
      </w:r>
      <w:r w:rsidRPr="00192DF3">
        <w:t>.</w:t>
      </w:r>
    </w:p>
    <w:p w14:paraId="1C6CE952" w14:textId="77777777" w:rsidR="00192DF3" w:rsidRPr="00192DF3" w:rsidRDefault="00192DF3" w:rsidP="00192DF3">
      <w:r w:rsidRPr="00192DF3">
        <w:t xml:space="preserve">We understand that feedback is sought </w:t>
      </w:r>
      <w:r w:rsidRPr="00192DF3">
        <w:rPr>
          <w:b/>
          <w:bCs/>
        </w:rPr>
        <w:t>only on the proposed updates</w:t>
      </w:r>
      <w:r w:rsidRPr="00192DF3">
        <w:t xml:space="preserve">, and not on other aspects of the original agenda decisions. Our comments below are therefore focused on the </w:t>
      </w:r>
      <w:r w:rsidRPr="00192DF3">
        <w:rPr>
          <w:b/>
          <w:bCs/>
        </w:rPr>
        <w:t>new and amended text</w:t>
      </w:r>
      <w:r w:rsidRPr="00192DF3">
        <w:t xml:space="preserve"> in the context of IFRS 18.</w:t>
      </w:r>
    </w:p>
    <w:p w14:paraId="193FA3C4" w14:textId="77777777" w:rsidR="00192DF3" w:rsidRPr="00192DF3" w:rsidRDefault="00000000" w:rsidP="00192DF3">
      <w:r>
        <w:pict w14:anchorId="337E10FF">
          <v:rect id="_x0000_i1025" style="width:0;height:1.5pt" o:hralign="center" o:hrstd="t" o:hr="t" fillcolor="#a0a0a0" stroked="f"/>
        </w:pict>
      </w:r>
    </w:p>
    <w:p w14:paraId="397A59CA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1. Overall Support for the Proposed Updates</w:t>
      </w:r>
    </w:p>
    <w:p w14:paraId="25D36E14" w14:textId="77777777" w:rsidR="00192DF3" w:rsidRPr="00192DF3" w:rsidRDefault="00192DF3" w:rsidP="00192DF3">
      <w:r w:rsidRPr="00192DF3">
        <w:t xml:space="preserve">We support the Committee’s decision to </w:t>
      </w:r>
      <w:r w:rsidRPr="00192DF3">
        <w:rPr>
          <w:b/>
          <w:bCs/>
        </w:rPr>
        <w:t>update, rather than finalise</w:t>
      </w:r>
      <w:r w:rsidRPr="00192DF3">
        <w:t xml:space="preserve">, the affected agenda decisions to ensure consistency with </w:t>
      </w:r>
      <w:r w:rsidRPr="00192DF3">
        <w:rPr>
          <w:b/>
          <w:bCs/>
        </w:rPr>
        <w:t>IFRS 18 Presentation and Disclosure in Financial Statements</w:t>
      </w:r>
      <w:r w:rsidRPr="00192DF3">
        <w:t>.</w:t>
      </w:r>
    </w:p>
    <w:p w14:paraId="3B32CAFC" w14:textId="77777777" w:rsidR="00192DF3" w:rsidRPr="00192DF3" w:rsidRDefault="00192DF3" w:rsidP="00192DF3">
      <w:r w:rsidRPr="00192DF3">
        <w:t>The proposed updates appropriately:</w:t>
      </w:r>
    </w:p>
    <w:p w14:paraId="26A1F798" w14:textId="77777777" w:rsidR="00192DF3" w:rsidRPr="00192DF3" w:rsidRDefault="00192DF3" w:rsidP="00192DF3">
      <w:pPr>
        <w:numPr>
          <w:ilvl w:val="0"/>
          <w:numId w:val="1"/>
        </w:numPr>
      </w:pPr>
      <w:r w:rsidRPr="00192DF3">
        <w:t xml:space="preserve">align legacy agenda decisions with the </w:t>
      </w:r>
      <w:r w:rsidRPr="00192DF3">
        <w:rPr>
          <w:b/>
          <w:bCs/>
        </w:rPr>
        <w:t>new presentation structure under IFRS 18</w:t>
      </w:r>
      <w:r w:rsidRPr="00192DF3">
        <w:t>; and</w:t>
      </w:r>
    </w:p>
    <w:p w14:paraId="2EA45817" w14:textId="77777777" w:rsidR="00192DF3" w:rsidRPr="00192DF3" w:rsidRDefault="00192DF3" w:rsidP="00192DF3">
      <w:pPr>
        <w:numPr>
          <w:ilvl w:val="0"/>
          <w:numId w:val="1"/>
        </w:numPr>
      </w:pPr>
      <w:r w:rsidRPr="00192DF3">
        <w:t xml:space="preserve">reinforce the principle that </w:t>
      </w:r>
      <w:r w:rsidRPr="00192DF3">
        <w:rPr>
          <w:b/>
          <w:bCs/>
        </w:rPr>
        <w:t>classification follows scope and basis of calculation</w:t>
      </w:r>
      <w:r w:rsidRPr="00192DF3">
        <w:t>, not nomenclature or settlement mechanics.</w:t>
      </w:r>
    </w:p>
    <w:p w14:paraId="7274FB71" w14:textId="46ADB567" w:rsidR="00192DF3" w:rsidRPr="00192DF3" w:rsidRDefault="00192DF3" w:rsidP="00192DF3">
      <w:r w:rsidRPr="00192DF3">
        <w:t>This approach avoids reopening settled technical conclusions while ensuring conceptual consistency under IFRS 18.</w:t>
      </w:r>
    </w:p>
    <w:p w14:paraId="0CDF2526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2. Presentation of Payments on Non-Income Taxes</w:t>
      </w:r>
    </w:p>
    <w:p w14:paraId="67A0E976" w14:textId="77777777" w:rsidR="00192DF3" w:rsidRPr="00192DF3" w:rsidRDefault="00192DF3" w:rsidP="00192DF3">
      <w:r w:rsidRPr="00192DF3">
        <w:rPr>
          <w:i/>
          <w:iCs/>
        </w:rPr>
        <w:t>(IAS 1 → IFRS 18 update)</w:t>
      </w:r>
    </w:p>
    <w:p w14:paraId="232938B9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(a) Comparison: IAS 1 vs IFRS 18</w:t>
      </w:r>
    </w:p>
    <w:p w14:paraId="7F71D769" w14:textId="77777777" w:rsidR="00192DF3" w:rsidRPr="00192DF3" w:rsidRDefault="00192DF3" w:rsidP="00192DF3">
      <w:r w:rsidRPr="00192DF3">
        <w:t xml:space="preserve">Under </w:t>
      </w:r>
      <w:r w:rsidRPr="00192DF3">
        <w:rPr>
          <w:b/>
          <w:bCs/>
        </w:rPr>
        <w:t>IAS 1</w:t>
      </w:r>
      <w:r w:rsidRPr="00192DF3">
        <w:t>, presentation guidance relied heavily on:</w:t>
      </w:r>
    </w:p>
    <w:p w14:paraId="4D61DEEA" w14:textId="77777777" w:rsidR="00192DF3" w:rsidRPr="00192DF3" w:rsidRDefault="00192DF3" w:rsidP="00192DF3">
      <w:pPr>
        <w:numPr>
          <w:ilvl w:val="0"/>
          <w:numId w:val="2"/>
        </w:numPr>
      </w:pPr>
      <w:r w:rsidRPr="00192DF3">
        <w:t>general line-item requirements, and</w:t>
      </w:r>
    </w:p>
    <w:p w14:paraId="3EB195F1" w14:textId="77777777" w:rsidR="00192DF3" w:rsidRPr="00192DF3" w:rsidRDefault="00192DF3" w:rsidP="00192DF3">
      <w:pPr>
        <w:numPr>
          <w:ilvl w:val="0"/>
          <w:numId w:val="2"/>
        </w:numPr>
      </w:pPr>
      <w:r w:rsidRPr="00192DF3">
        <w:t>paragraph 82(d) for tax expense.</w:t>
      </w:r>
    </w:p>
    <w:p w14:paraId="3DD21DB6" w14:textId="77777777" w:rsidR="00192DF3" w:rsidRPr="00192DF3" w:rsidRDefault="00192DF3" w:rsidP="00192DF3">
      <w:r w:rsidRPr="00192DF3">
        <w:t>This allowed a degree of judgement that, in practice, led to:</w:t>
      </w:r>
    </w:p>
    <w:p w14:paraId="40CA9CD1" w14:textId="77777777" w:rsidR="00192DF3" w:rsidRPr="00192DF3" w:rsidRDefault="00192DF3" w:rsidP="00192DF3">
      <w:pPr>
        <w:numPr>
          <w:ilvl w:val="0"/>
          <w:numId w:val="3"/>
        </w:numPr>
      </w:pPr>
      <w:r w:rsidRPr="00192DF3">
        <w:t>diversity in presentation of production-based royalties and similar levies.</w:t>
      </w:r>
    </w:p>
    <w:p w14:paraId="37EEE5A1" w14:textId="77777777" w:rsidR="00192DF3" w:rsidRPr="00192DF3" w:rsidRDefault="00192DF3" w:rsidP="00192DF3">
      <w:r w:rsidRPr="00192DF3">
        <w:rPr>
          <w:b/>
          <w:bCs/>
        </w:rPr>
        <w:t>IFRS 18</w:t>
      </w:r>
      <w:r w:rsidRPr="00192DF3">
        <w:t>, by contrast, introduces:</w:t>
      </w:r>
    </w:p>
    <w:p w14:paraId="62EC13F3" w14:textId="77777777" w:rsidR="00192DF3" w:rsidRPr="00192DF3" w:rsidRDefault="00192DF3" w:rsidP="00192DF3">
      <w:pPr>
        <w:numPr>
          <w:ilvl w:val="0"/>
          <w:numId w:val="4"/>
        </w:numPr>
      </w:pPr>
      <w:r w:rsidRPr="00192DF3">
        <w:t xml:space="preserve">a clearly defined </w:t>
      </w:r>
      <w:r w:rsidRPr="00192DF3">
        <w:rPr>
          <w:b/>
          <w:bCs/>
        </w:rPr>
        <w:t>income taxes category</w:t>
      </w:r>
      <w:r w:rsidRPr="00192DF3">
        <w:t>, and</w:t>
      </w:r>
    </w:p>
    <w:p w14:paraId="15C62F8A" w14:textId="77777777" w:rsidR="00192DF3" w:rsidRPr="00192DF3" w:rsidRDefault="00192DF3" w:rsidP="00192DF3">
      <w:pPr>
        <w:numPr>
          <w:ilvl w:val="0"/>
          <w:numId w:val="4"/>
        </w:numPr>
      </w:pPr>
      <w:r w:rsidRPr="00192DF3">
        <w:t xml:space="preserve">a mandatory </w:t>
      </w:r>
      <w:r w:rsidRPr="00192DF3">
        <w:rPr>
          <w:b/>
          <w:bCs/>
        </w:rPr>
        <w:t>‘income tax expense or income’ line item</w:t>
      </w:r>
      <w:r w:rsidRPr="00192DF3">
        <w:t xml:space="preserve"> explicitly linked to IAS 12 (paragraphs 67 and 75(a)(iv)).</w:t>
      </w:r>
    </w:p>
    <w:p w14:paraId="6F1A87F0" w14:textId="77777777" w:rsidR="00192DF3" w:rsidRPr="00192DF3" w:rsidRDefault="00192DF3" w:rsidP="00192DF3">
      <w:r w:rsidRPr="00192DF3">
        <w:t>The proposed update correctly reflects this structural change.</w:t>
      </w:r>
    </w:p>
    <w:p w14:paraId="67DDF4FA" w14:textId="7A11C3AD" w:rsidR="00192DF3" w:rsidRPr="00192DF3" w:rsidRDefault="00192DF3" w:rsidP="00192DF3"/>
    <w:p w14:paraId="490BFF26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(b) Basis of Calculation as the Determining Factor</w:t>
      </w:r>
    </w:p>
    <w:p w14:paraId="6C4836F5" w14:textId="77777777" w:rsidR="00192DF3" w:rsidRPr="00192DF3" w:rsidRDefault="00192DF3" w:rsidP="00192DF3">
      <w:r w:rsidRPr="00192DF3">
        <w:lastRenderedPageBreak/>
        <w:t>We strongly agree with the Committee’s reaffirmation that:</w:t>
      </w:r>
    </w:p>
    <w:p w14:paraId="29715343" w14:textId="77777777" w:rsidR="00192DF3" w:rsidRPr="00192DF3" w:rsidRDefault="00192DF3" w:rsidP="00192DF3">
      <w:pPr>
        <w:numPr>
          <w:ilvl w:val="0"/>
          <w:numId w:val="5"/>
        </w:numPr>
      </w:pPr>
      <w:r w:rsidRPr="00192DF3">
        <w:t xml:space="preserve">the </w:t>
      </w:r>
      <w:r w:rsidRPr="00192DF3">
        <w:rPr>
          <w:b/>
          <w:bCs/>
        </w:rPr>
        <w:t>basis of calculation under the relevant tax rules</w:t>
      </w:r>
      <w:r w:rsidRPr="00192DF3">
        <w:t xml:space="preserve"> determines whether a levy meets the definition of an income tax under IAS 12; and</w:t>
      </w:r>
    </w:p>
    <w:p w14:paraId="7B93E75C" w14:textId="77777777" w:rsidR="00192DF3" w:rsidRPr="00192DF3" w:rsidRDefault="00192DF3" w:rsidP="00192DF3">
      <w:pPr>
        <w:numPr>
          <w:ilvl w:val="0"/>
          <w:numId w:val="5"/>
        </w:numPr>
      </w:pPr>
      <w:r w:rsidRPr="00192DF3">
        <w:t xml:space="preserve">neither the </w:t>
      </w:r>
      <w:r w:rsidRPr="00192DF3">
        <w:rPr>
          <w:b/>
          <w:bCs/>
        </w:rPr>
        <w:t>manner of settlement</w:t>
      </w:r>
      <w:r w:rsidRPr="00192DF3">
        <w:t xml:space="preserve"> nor the </w:t>
      </w:r>
      <w:r w:rsidRPr="00192DF3">
        <w:rPr>
          <w:b/>
          <w:bCs/>
        </w:rPr>
        <w:t>identity of the recipient</w:t>
      </w:r>
      <w:r w:rsidRPr="00192DF3">
        <w:t xml:space="preserve"> is determinative.</w:t>
      </w:r>
    </w:p>
    <w:p w14:paraId="741FB333" w14:textId="77777777" w:rsidR="00192DF3" w:rsidRPr="00192DF3" w:rsidRDefault="00192DF3" w:rsidP="00192DF3">
      <w:r w:rsidRPr="00192DF3">
        <w:t>This clarification is particularly important in jurisdictions where:</w:t>
      </w:r>
    </w:p>
    <w:p w14:paraId="7F2A9240" w14:textId="77777777" w:rsidR="00192DF3" w:rsidRPr="00192DF3" w:rsidRDefault="00192DF3" w:rsidP="00192DF3">
      <w:pPr>
        <w:numPr>
          <w:ilvl w:val="0"/>
          <w:numId w:val="6"/>
        </w:numPr>
      </w:pPr>
      <w:r w:rsidRPr="00192DF3">
        <w:t>production-based royalties, cess, or levies coexist with income taxes, and</w:t>
      </w:r>
    </w:p>
    <w:p w14:paraId="1F39A2A7" w14:textId="77777777" w:rsidR="00192DF3" w:rsidRPr="00192DF3" w:rsidRDefault="00192DF3" w:rsidP="00192DF3">
      <w:pPr>
        <w:numPr>
          <w:ilvl w:val="0"/>
          <w:numId w:val="6"/>
        </w:numPr>
      </w:pPr>
      <w:r w:rsidRPr="00192DF3">
        <w:t>such payments may reduce income tax payable.</w:t>
      </w:r>
    </w:p>
    <w:p w14:paraId="0121AED3" w14:textId="77777777" w:rsidR="00192DF3" w:rsidRPr="00192DF3" w:rsidRDefault="00192DF3" w:rsidP="00192DF3">
      <w:r w:rsidRPr="00192DF3">
        <w:t>The proposed text appropriately eliminates any residual ambiguity created by older IAS 1-based wording.</w:t>
      </w:r>
    </w:p>
    <w:p w14:paraId="043C7314" w14:textId="77777777" w:rsidR="00192DF3" w:rsidRPr="00192DF3" w:rsidRDefault="00000000" w:rsidP="00192DF3">
      <w:r>
        <w:pict w14:anchorId="5129CC18">
          <v:rect id="_x0000_i1026" style="width:0;height:1.5pt" o:hralign="center" o:hrstd="t" o:hr="t" fillcolor="#a0a0a0" stroked="f"/>
        </w:pict>
      </w:r>
    </w:p>
    <w:p w14:paraId="1E177001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(c) Comparison with the Recent IFRS 18 TAD on Non-IAS 12 Taxes</w:t>
      </w:r>
    </w:p>
    <w:p w14:paraId="04309C02" w14:textId="77777777" w:rsidR="00192DF3" w:rsidRPr="00192DF3" w:rsidRDefault="00192DF3" w:rsidP="00192DF3">
      <w:r w:rsidRPr="00192DF3">
        <w:t xml:space="preserve">The proposed update is fully consistent with the Committee’s </w:t>
      </w:r>
      <w:r w:rsidRPr="00192DF3">
        <w:rPr>
          <w:b/>
          <w:bCs/>
        </w:rPr>
        <w:t>recent tentative agenda decision under IFRS 18</w:t>
      </w:r>
      <w:r w:rsidRPr="00192DF3">
        <w:t xml:space="preserve"> which concludes that:</w:t>
      </w:r>
    </w:p>
    <w:p w14:paraId="57DDB169" w14:textId="77777777" w:rsidR="00192DF3" w:rsidRPr="00192DF3" w:rsidRDefault="00192DF3" w:rsidP="00192DF3">
      <w:pPr>
        <w:numPr>
          <w:ilvl w:val="0"/>
          <w:numId w:val="7"/>
        </w:numPr>
      </w:pPr>
      <w:r w:rsidRPr="00192DF3">
        <w:t>non-IAS 12 taxes cannot be presented either</w:t>
      </w:r>
    </w:p>
    <w:p w14:paraId="6EEBDF92" w14:textId="77777777" w:rsidR="00192DF3" w:rsidRPr="00192DF3" w:rsidRDefault="00192DF3" w:rsidP="00192DF3">
      <w:pPr>
        <w:numPr>
          <w:ilvl w:val="1"/>
          <w:numId w:val="7"/>
        </w:numPr>
      </w:pPr>
      <w:r w:rsidRPr="00192DF3">
        <w:t>in the income tax expense line item, or</w:t>
      </w:r>
    </w:p>
    <w:p w14:paraId="69ECE510" w14:textId="77777777" w:rsidR="00192DF3" w:rsidRPr="00192DF3" w:rsidRDefault="00192DF3" w:rsidP="00192DF3">
      <w:pPr>
        <w:numPr>
          <w:ilvl w:val="1"/>
          <w:numId w:val="7"/>
        </w:numPr>
      </w:pPr>
      <w:r w:rsidRPr="00192DF3">
        <w:t>within the income taxes category.</w:t>
      </w:r>
    </w:p>
    <w:p w14:paraId="401C8EEC" w14:textId="77777777" w:rsidR="00192DF3" w:rsidRPr="00192DF3" w:rsidRDefault="00192DF3" w:rsidP="00192DF3">
      <w:r w:rsidRPr="00192DF3">
        <w:t>This consistency across agenda decisions strengthens IFRS 18 implementation and reduces interpretative risk.</w:t>
      </w:r>
    </w:p>
    <w:p w14:paraId="22A3D418" w14:textId="77777777" w:rsidR="00192DF3" w:rsidRPr="00192DF3" w:rsidRDefault="00000000" w:rsidP="00192DF3">
      <w:r>
        <w:pict w14:anchorId="4B878651">
          <v:rect id="_x0000_i1027" style="width:0;height:1.5pt" o:hralign="center" o:hrstd="t" o:hr="t" fillcolor="#a0a0a0" stroked="f"/>
        </w:pict>
      </w:r>
    </w:p>
    <w:p w14:paraId="020C66D4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3. Classification of Tonnage Taxes</w:t>
      </w:r>
    </w:p>
    <w:p w14:paraId="30D178C8" w14:textId="77777777" w:rsidR="00192DF3" w:rsidRPr="00192DF3" w:rsidRDefault="00192DF3" w:rsidP="00192DF3">
      <w:r w:rsidRPr="00192DF3">
        <w:rPr>
          <w:i/>
          <w:iCs/>
        </w:rPr>
        <w:t>(IAS 12 with IFRS 18 presentation implications)</w:t>
      </w:r>
    </w:p>
    <w:p w14:paraId="6F13591D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(a) IAS 12 Scope Analysis – No Change in Principle</w:t>
      </w:r>
    </w:p>
    <w:p w14:paraId="544E90D0" w14:textId="77777777" w:rsidR="00192DF3" w:rsidRPr="00192DF3" w:rsidRDefault="00192DF3" w:rsidP="00192DF3">
      <w:r w:rsidRPr="00192DF3">
        <w:t>We agree that the proposed update appropriately retains the original conclusion that:</w:t>
      </w:r>
    </w:p>
    <w:p w14:paraId="65166F53" w14:textId="77777777" w:rsidR="00192DF3" w:rsidRPr="00192DF3" w:rsidRDefault="00192DF3" w:rsidP="00192DF3">
      <w:pPr>
        <w:numPr>
          <w:ilvl w:val="0"/>
          <w:numId w:val="8"/>
        </w:numPr>
      </w:pPr>
      <w:r w:rsidRPr="00192DF3">
        <w:t xml:space="preserve">tonnage taxes are </w:t>
      </w:r>
      <w:r w:rsidRPr="00192DF3">
        <w:rPr>
          <w:b/>
          <w:bCs/>
        </w:rPr>
        <w:t>not income taxes</w:t>
      </w:r>
      <w:r w:rsidRPr="00192DF3">
        <w:t xml:space="preserve"> because they are:</w:t>
      </w:r>
    </w:p>
    <w:p w14:paraId="28B9B558" w14:textId="77777777" w:rsidR="00192DF3" w:rsidRPr="00192DF3" w:rsidRDefault="00192DF3" w:rsidP="00192DF3">
      <w:pPr>
        <w:numPr>
          <w:ilvl w:val="1"/>
          <w:numId w:val="8"/>
        </w:numPr>
      </w:pPr>
      <w:r w:rsidRPr="00192DF3">
        <w:t>based on gross measures (tonnage or capacity), or</w:t>
      </w:r>
    </w:p>
    <w:p w14:paraId="776EC3E9" w14:textId="77777777" w:rsidR="00192DF3" w:rsidRPr="00192DF3" w:rsidRDefault="00192DF3" w:rsidP="00192DF3">
      <w:pPr>
        <w:numPr>
          <w:ilvl w:val="1"/>
          <w:numId w:val="8"/>
        </w:numPr>
      </w:pPr>
      <w:r w:rsidRPr="00192DF3">
        <w:t>derived from notional income unrelated to actual profits.</w:t>
      </w:r>
    </w:p>
    <w:p w14:paraId="6F5EC4C4" w14:textId="77777777" w:rsidR="00192DF3" w:rsidRPr="00192DF3" w:rsidRDefault="00192DF3" w:rsidP="00192DF3">
      <w:r w:rsidRPr="00192DF3">
        <w:t>The update does not alter the IAS 12 analysis, but merely updates references to IFRS 18.</w:t>
      </w:r>
    </w:p>
    <w:p w14:paraId="21AF8E9D" w14:textId="77777777" w:rsidR="00192DF3" w:rsidRPr="00192DF3" w:rsidRDefault="00000000" w:rsidP="00192DF3">
      <w:r>
        <w:pict w14:anchorId="2938A3D9">
          <v:rect id="_x0000_i1028" style="width:0;height:1.5pt" o:hralign="center" o:hrstd="t" o:hr="t" fillcolor="#a0a0a0" stroked="f"/>
        </w:pict>
      </w:r>
    </w:p>
    <w:p w14:paraId="66FED6CE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(b) Comparative Analysis: IAS 1 Paragraph 85 vs IFRS 18 Paragraph 24</w:t>
      </w:r>
    </w:p>
    <w:p w14:paraId="59837866" w14:textId="77777777" w:rsidR="00192DF3" w:rsidRPr="00192DF3" w:rsidRDefault="00192DF3" w:rsidP="00192DF3">
      <w:r w:rsidRPr="00192DF3">
        <w:t>Under IAS 1:</w:t>
      </w:r>
    </w:p>
    <w:p w14:paraId="23AEB98C" w14:textId="77777777" w:rsidR="00192DF3" w:rsidRPr="00192DF3" w:rsidRDefault="00192DF3" w:rsidP="00192DF3">
      <w:pPr>
        <w:numPr>
          <w:ilvl w:val="0"/>
          <w:numId w:val="9"/>
        </w:numPr>
      </w:pPr>
      <w:r w:rsidRPr="00192DF3">
        <w:t>paragraph 85 allowed additional subtotals where relevant to understanding performance.</w:t>
      </w:r>
    </w:p>
    <w:p w14:paraId="0110F732" w14:textId="77777777" w:rsidR="00192DF3" w:rsidRPr="00192DF3" w:rsidRDefault="00192DF3" w:rsidP="00192DF3">
      <w:r w:rsidRPr="00192DF3">
        <w:t xml:space="preserve">IFRS 18 carries forward this principle through </w:t>
      </w:r>
      <w:r w:rsidRPr="00192DF3">
        <w:rPr>
          <w:b/>
          <w:bCs/>
        </w:rPr>
        <w:t>paragraph 24</w:t>
      </w:r>
      <w:r w:rsidRPr="00192DF3">
        <w:t>, within a more structured framework.</w:t>
      </w:r>
    </w:p>
    <w:p w14:paraId="02E7E9A6" w14:textId="77777777" w:rsidR="00192DF3" w:rsidRPr="00192DF3" w:rsidRDefault="00192DF3" w:rsidP="00192DF3">
      <w:r w:rsidRPr="00192DF3">
        <w:t>We agree with the Committee’s approach of:</w:t>
      </w:r>
    </w:p>
    <w:p w14:paraId="15FB266D" w14:textId="77777777" w:rsidR="00192DF3" w:rsidRPr="00192DF3" w:rsidRDefault="00192DF3" w:rsidP="00192DF3">
      <w:pPr>
        <w:numPr>
          <w:ilvl w:val="0"/>
          <w:numId w:val="10"/>
        </w:numPr>
      </w:pPr>
      <w:r w:rsidRPr="00192DF3">
        <w:t>retaining the possibility of additional subtotals for tonnage tax entities, while</w:t>
      </w:r>
    </w:p>
    <w:p w14:paraId="5EFDED83" w14:textId="77777777" w:rsidR="00192DF3" w:rsidRPr="00192DF3" w:rsidRDefault="00192DF3" w:rsidP="00192DF3">
      <w:pPr>
        <w:numPr>
          <w:ilvl w:val="0"/>
          <w:numId w:val="10"/>
        </w:numPr>
      </w:pPr>
      <w:r w:rsidRPr="00192DF3">
        <w:t xml:space="preserve">ensuring that such presentation does </w:t>
      </w:r>
      <w:r w:rsidRPr="00192DF3">
        <w:rPr>
          <w:b/>
          <w:bCs/>
        </w:rPr>
        <w:t>not override category definitions</w:t>
      </w:r>
      <w:r w:rsidRPr="00192DF3">
        <w:t>.</w:t>
      </w:r>
    </w:p>
    <w:p w14:paraId="4E8D97D6" w14:textId="77777777" w:rsidR="00192DF3" w:rsidRPr="00192DF3" w:rsidRDefault="00192DF3" w:rsidP="00192DF3">
      <w:r w:rsidRPr="00192DF3">
        <w:t>This preserves both:</w:t>
      </w:r>
    </w:p>
    <w:p w14:paraId="2906DBCA" w14:textId="77777777" w:rsidR="00192DF3" w:rsidRPr="00192DF3" w:rsidRDefault="00192DF3" w:rsidP="00192DF3">
      <w:pPr>
        <w:numPr>
          <w:ilvl w:val="0"/>
          <w:numId w:val="11"/>
        </w:numPr>
      </w:pPr>
      <w:r w:rsidRPr="00192DF3">
        <w:t>relevance, and</w:t>
      </w:r>
    </w:p>
    <w:p w14:paraId="072A8F35" w14:textId="77777777" w:rsidR="00192DF3" w:rsidRPr="00192DF3" w:rsidRDefault="00192DF3" w:rsidP="00192DF3">
      <w:pPr>
        <w:numPr>
          <w:ilvl w:val="0"/>
          <w:numId w:val="11"/>
        </w:numPr>
      </w:pPr>
      <w:r w:rsidRPr="00192DF3">
        <w:lastRenderedPageBreak/>
        <w:t>comparability.</w:t>
      </w:r>
    </w:p>
    <w:p w14:paraId="06C487EC" w14:textId="77777777" w:rsidR="00192DF3" w:rsidRPr="00192DF3" w:rsidRDefault="00000000" w:rsidP="00192DF3">
      <w:r>
        <w:pict w14:anchorId="7CF28E2D">
          <v:rect id="_x0000_i1029" style="width:0;height:1.5pt" o:hralign="center" o:hrstd="t" o:hr="t" fillcolor="#a0a0a0" stroked="f"/>
        </w:pict>
      </w:r>
    </w:p>
    <w:p w14:paraId="3C9F2DE5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(c) Avoidance of Implicit Reclassification Risk</w:t>
      </w:r>
    </w:p>
    <w:p w14:paraId="41B076C5" w14:textId="77777777" w:rsidR="00192DF3" w:rsidRPr="00192DF3" w:rsidRDefault="00192DF3" w:rsidP="00192DF3">
      <w:r w:rsidRPr="00192DF3">
        <w:t>The explicit cross-reference to the IFRS 18 agenda decision on non-IAS 12 taxes is helpful.</w:t>
      </w:r>
    </w:p>
    <w:p w14:paraId="29C92F78" w14:textId="77777777" w:rsidR="00192DF3" w:rsidRPr="00192DF3" w:rsidRDefault="00192DF3" w:rsidP="00192DF3">
      <w:r w:rsidRPr="00192DF3">
        <w:t>It prevents entities from:</w:t>
      </w:r>
    </w:p>
    <w:p w14:paraId="262EE882" w14:textId="77777777" w:rsidR="00192DF3" w:rsidRPr="00192DF3" w:rsidRDefault="00192DF3" w:rsidP="00192DF3">
      <w:pPr>
        <w:numPr>
          <w:ilvl w:val="0"/>
          <w:numId w:val="12"/>
        </w:numPr>
      </w:pPr>
      <w:r w:rsidRPr="00192DF3">
        <w:t>indirectly reintroducing tonnage taxes into tax expense through subtotals or labelling, contrary to IAS 12 and IFRS 18.</w:t>
      </w:r>
    </w:p>
    <w:p w14:paraId="709A9BDD" w14:textId="77777777" w:rsidR="00192DF3" w:rsidRPr="00192DF3" w:rsidRDefault="00192DF3" w:rsidP="00192DF3">
      <w:r w:rsidRPr="00192DF3">
        <w:t>This clarification is particularly valuable in industries where tonnage taxes are economically significant.</w:t>
      </w:r>
    </w:p>
    <w:p w14:paraId="765A68EA" w14:textId="77777777" w:rsidR="00192DF3" w:rsidRPr="00192DF3" w:rsidRDefault="00000000" w:rsidP="00192DF3">
      <w:r>
        <w:pict w14:anchorId="00454618">
          <v:rect id="_x0000_i1030" style="width:0;height:1.5pt" o:hralign="center" o:hrstd="t" o:hr="t" fillcolor="#a0a0a0" stroked="f"/>
        </w:pict>
      </w:r>
    </w:p>
    <w:p w14:paraId="0577CE20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4. Comparative Perspective: Continuity vs Change</w:t>
      </w:r>
    </w:p>
    <w:p w14:paraId="602B5181" w14:textId="77777777" w:rsidR="00192DF3" w:rsidRPr="00192DF3" w:rsidRDefault="00192DF3" w:rsidP="00192DF3">
      <w:r w:rsidRPr="00192DF3">
        <w:t>We commend the Committee for striking an appropriate balance between:</w:t>
      </w:r>
    </w:p>
    <w:p w14:paraId="78E29E52" w14:textId="77777777" w:rsidR="00192DF3" w:rsidRPr="00192DF3" w:rsidRDefault="00192DF3" w:rsidP="00192DF3">
      <w:pPr>
        <w:numPr>
          <w:ilvl w:val="0"/>
          <w:numId w:val="13"/>
        </w:numPr>
      </w:pPr>
      <w:r w:rsidRPr="00192DF3">
        <w:rPr>
          <w:b/>
          <w:bCs/>
        </w:rPr>
        <w:t>continuity of technical conclusions</w:t>
      </w:r>
      <w:r w:rsidRPr="00192DF3">
        <w:t>, and</w:t>
      </w:r>
    </w:p>
    <w:p w14:paraId="28E0B58A" w14:textId="77777777" w:rsidR="00192DF3" w:rsidRPr="00192DF3" w:rsidRDefault="00192DF3" w:rsidP="00192DF3">
      <w:pPr>
        <w:numPr>
          <w:ilvl w:val="0"/>
          <w:numId w:val="13"/>
        </w:numPr>
      </w:pPr>
      <w:r w:rsidRPr="00192DF3">
        <w:rPr>
          <w:b/>
          <w:bCs/>
        </w:rPr>
        <w:t>updating presentation language</w:t>
      </w:r>
      <w:r w:rsidRPr="00192DF3">
        <w:t xml:space="preserve"> for IFRS 18.</w:t>
      </w:r>
    </w:p>
    <w:p w14:paraId="4FA12B73" w14:textId="77777777" w:rsidR="00192DF3" w:rsidRPr="00192DF3" w:rsidRDefault="00192DF3" w:rsidP="00192DF3">
      <w:r w:rsidRPr="00192DF3">
        <w:t>Importantly:</w:t>
      </w:r>
    </w:p>
    <w:p w14:paraId="750CBD15" w14:textId="77777777" w:rsidR="00192DF3" w:rsidRPr="00192DF3" w:rsidRDefault="00192DF3" w:rsidP="00192DF3">
      <w:pPr>
        <w:numPr>
          <w:ilvl w:val="0"/>
          <w:numId w:val="14"/>
        </w:numPr>
      </w:pPr>
      <w:r w:rsidRPr="00192DF3">
        <w:t>the updates do not reopen scope conclusions under IAS 12;</w:t>
      </w:r>
    </w:p>
    <w:p w14:paraId="04BEB476" w14:textId="77777777" w:rsidR="00192DF3" w:rsidRPr="00192DF3" w:rsidRDefault="00192DF3" w:rsidP="00192DF3">
      <w:pPr>
        <w:numPr>
          <w:ilvl w:val="0"/>
          <w:numId w:val="14"/>
        </w:numPr>
      </w:pPr>
      <w:r w:rsidRPr="00192DF3">
        <w:t>they merely reposition those conclusions within IFRS 18’s presentation model.</w:t>
      </w:r>
    </w:p>
    <w:p w14:paraId="47747978" w14:textId="148E3C2E" w:rsidR="00192DF3" w:rsidRPr="00192DF3" w:rsidRDefault="00192DF3" w:rsidP="00192DF3">
      <w:r w:rsidRPr="00192DF3">
        <w:t>This approach avoids unnecessary disruption while enhancing clarity.</w:t>
      </w:r>
    </w:p>
    <w:p w14:paraId="5A64D047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5. Practical Implications and Transition Considerations</w:t>
      </w:r>
    </w:p>
    <w:p w14:paraId="68970BE8" w14:textId="77777777" w:rsidR="00192DF3" w:rsidRPr="00192DF3" w:rsidRDefault="00192DF3" w:rsidP="00192DF3">
      <w:r w:rsidRPr="00192DF3">
        <w:t>The proposed updates will:</w:t>
      </w:r>
    </w:p>
    <w:p w14:paraId="05B0B480" w14:textId="77777777" w:rsidR="00192DF3" w:rsidRPr="00192DF3" w:rsidRDefault="00192DF3" w:rsidP="00192DF3">
      <w:pPr>
        <w:numPr>
          <w:ilvl w:val="0"/>
          <w:numId w:val="15"/>
        </w:numPr>
      </w:pPr>
      <w:r w:rsidRPr="00192DF3">
        <w:t>reduce diversity in practice during IFRS 18 transition;</w:t>
      </w:r>
    </w:p>
    <w:p w14:paraId="67095795" w14:textId="77777777" w:rsidR="00192DF3" w:rsidRPr="00192DF3" w:rsidRDefault="00192DF3" w:rsidP="00192DF3">
      <w:pPr>
        <w:numPr>
          <w:ilvl w:val="0"/>
          <w:numId w:val="15"/>
        </w:numPr>
      </w:pPr>
      <w:r w:rsidRPr="00192DF3">
        <w:t>assist preparers in reassessing long-standing presentation conventions; and</w:t>
      </w:r>
    </w:p>
    <w:p w14:paraId="6C71DB19" w14:textId="77777777" w:rsidR="00192DF3" w:rsidRPr="00192DF3" w:rsidRDefault="00192DF3" w:rsidP="00192DF3">
      <w:pPr>
        <w:numPr>
          <w:ilvl w:val="0"/>
          <w:numId w:val="15"/>
        </w:numPr>
      </w:pPr>
      <w:r w:rsidRPr="00192DF3">
        <w:t>support auditors and regulators in enforcing consistent application.</w:t>
      </w:r>
    </w:p>
    <w:p w14:paraId="04228923" w14:textId="50B580B7" w:rsidR="00192DF3" w:rsidRPr="00192DF3" w:rsidRDefault="00192DF3" w:rsidP="00192DF3">
      <w:r w:rsidRPr="00192DF3">
        <w:t>We do not foresee significant incremental cost, as the updates are clarificatory rather than substantive.</w:t>
      </w:r>
    </w:p>
    <w:p w14:paraId="3BF3B984" w14:textId="77777777" w:rsidR="00192DF3" w:rsidRPr="00192DF3" w:rsidRDefault="00192DF3" w:rsidP="00192DF3">
      <w:pPr>
        <w:rPr>
          <w:b/>
          <w:bCs/>
        </w:rPr>
      </w:pPr>
      <w:r w:rsidRPr="00192DF3">
        <w:rPr>
          <w:b/>
          <w:bCs/>
        </w:rPr>
        <w:t>6. Conclusion</w:t>
      </w:r>
    </w:p>
    <w:p w14:paraId="1020C077" w14:textId="77777777" w:rsidR="00192DF3" w:rsidRPr="00192DF3" w:rsidRDefault="00192DF3" w:rsidP="00192DF3">
      <w:r w:rsidRPr="00192DF3">
        <w:t>We support the proposed updates to the agenda decisions on:</w:t>
      </w:r>
    </w:p>
    <w:p w14:paraId="538461F5" w14:textId="77777777" w:rsidR="00192DF3" w:rsidRPr="00192DF3" w:rsidRDefault="00192DF3" w:rsidP="00192DF3">
      <w:pPr>
        <w:numPr>
          <w:ilvl w:val="0"/>
          <w:numId w:val="16"/>
        </w:numPr>
      </w:pPr>
      <w:r w:rsidRPr="00192DF3">
        <w:rPr>
          <w:b/>
          <w:bCs/>
        </w:rPr>
        <w:t>Presentation of payments on non-income taxes</w:t>
      </w:r>
      <w:r w:rsidRPr="00192DF3">
        <w:t>, and</w:t>
      </w:r>
    </w:p>
    <w:p w14:paraId="18AECDD8" w14:textId="77777777" w:rsidR="00192DF3" w:rsidRPr="00192DF3" w:rsidRDefault="00192DF3" w:rsidP="00192DF3">
      <w:pPr>
        <w:numPr>
          <w:ilvl w:val="0"/>
          <w:numId w:val="16"/>
        </w:numPr>
      </w:pPr>
      <w:r w:rsidRPr="00192DF3">
        <w:rPr>
          <w:b/>
          <w:bCs/>
        </w:rPr>
        <w:t>Classification of tonnage taxes</w:t>
      </w:r>
      <w:r w:rsidRPr="00192DF3">
        <w:t>,</w:t>
      </w:r>
    </w:p>
    <w:p w14:paraId="1134A379" w14:textId="09989648" w:rsidR="00192DF3" w:rsidRPr="00192DF3" w:rsidRDefault="00192DF3" w:rsidP="00192DF3">
      <w:r w:rsidRPr="00192DF3">
        <w:t xml:space="preserve">and agree that they appropriately reflect the requirements and structure of </w:t>
      </w:r>
      <w:r w:rsidRPr="00192DF3">
        <w:rPr>
          <w:b/>
          <w:bCs/>
        </w:rPr>
        <w:t>IFRS 18</w:t>
      </w:r>
      <w:r w:rsidRPr="00192DF3">
        <w:t>, while preserving the underlying conclusions of IAS 12.The updates enhance clarity, consistency and faithful representation, without introducing new requirements or unintended consequences.</w:t>
      </w:r>
    </w:p>
    <w:p w14:paraId="6418EC11" w14:textId="77777777" w:rsidR="004B0AB5" w:rsidRDefault="00192DF3" w:rsidP="00192DF3">
      <w:r w:rsidRPr="00192DF3">
        <w:t>We appreciate the opportunity to submit our comments.</w:t>
      </w:r>
    </w:p>
    <w:p w14:paraId="4B635A8E" w14:textId="7CC67239" w:rsidR="00192DF3" w:rsidRDefault="00192DF3" w:rsidP="00192DF3">
      <w:r w:rsidRPr="00192DF3">
        <w:t>Yours faithfully,</w:t>
      </w:r>
      <w:r>
        <w:t xml:space="preserve"> </w:t>
      </w:r>
    </w:p>
    <w:p w14:paraId="5A5B45FE" w14:textId="2A11B454" w:rsidR="0072094C" w:rsidRDefault="00192DF3" w:rsidP="00192DF3">
      <w:r w:rsidRPr="00192DF3">
        <w:rPr>
          <w:b/>
          <w:bCs/>
        </w:rPr>
        <w:t>For and on behalf of</w:t>
      </w:r>
      <w:r w:rsidRPr="00192DF3">
        <w:br/>
      </w:r>
      <w:r w:rsidR="004B0AB5">
        <w:t xml:space="preserve">CA </w:t>
      </w:r>
      <w:r w:rsidR="005F51B0">
        <w:t>Yash Kuwad</w:t>
      </w:r>
    </w:p>
    <w:p w14:paraId="0BE0A3D5" w14:textId="08212D18" w:rsidR="0072094C" w:rsidRPr="00192DF3" w:rsidRDefault="0072094C" w:rsidP="00192DF3">
      <w:r>
        <w:t>Membership No.-</w:t>
      </w:r>
      <w:r w:rsidR="0043633E">
        <w:t>182156</w:t>
      </w:r>
    </w:p>
    <w:p w14:paraId="4EAB3786" w14:textId="77777777" w:rsidR="00A3429C" w:rsidRDefault="00A3429C"/>
    <w:sectPr w:rsidR="00A3429C" w:rsidSect="000A2560">
      <w:pgSz w:w="11906" w:h="16838"/>
      <w:pgMar w:top="433" w:right="566" w:bottom="1134" w:left="567" w:header="709" w:footer="22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D580B"/>
    <w:multiLevelType w:val="multilevel"/>
    <w:tmpl w:val="E2F8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D71D21"/>
    <w:multiLevelType w:val="multilevel"/>
    <w:tmpl w:val="7E864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5526CB"/>
    <w:multiLevelType w:val="multilevel"/>
    <w:tmpl w:val="FDE03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C7648B"/>
    <w:multiLevelType w:val="multilevel"/>
    <w:tmpl w:val="E3A00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266DF7"/>
    <w:multiLevelType w:val="multilevel"/>
    <w:tmpl w:val="FC200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6E406D"/>
    <w:multiLevelType w:val="multilevel"/>
    <w:tmpl w:val="92A8A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612D43"/>
    <w:multiLevelType w:val="multilevel"/>
    <w:tmpl w:val="377AB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F26898"/>
    <w:multiLevelType w:val="multilevel"/>
    <w:tmpl w:val="B1D2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AE3385"/>
    <w:multiLevelType w:val="multilevel"/>
    <w:tmpl w:val="6C94F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865A84"/>
    <w:multiLevelType w:val="multilevel"/>
    <w:tmpl w:val="A34A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4C594B"/>
    <w:multiLevelType w:val="multilevel"/>
    <w:tmpl w:val="B1E0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5E2E9F"/>
    <w:multiLevelType w:val="multilevel"/>
    <w:tmpl w:val="973EC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8B71373"/>
    <w:multiLevelType w:val="multilevel"/>
    <w:tmpl w:val="8DC2D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2007E6"/>
    <w:multiLevelType w:val="multilevel"/>
    <w:tmpl w:val="771E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B4C23E2"/>
    <w:multiLevelType w:val="multilevel"/>
    <w:tmpl w:val="93E2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471671C"/>
    <w:multiLevelType w:val="multilevel"/>
    <w:tmpl w:val="B75E4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52019F"/>
    <w:multiLevelType w:val="multilevel"/>
    <w:tmpl w:val="A9304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5836247">
    <w:abstractNumId w:val="14"/>
  </w:num>
  <w:num w:numId="2" w16cid:durableId="735207882">
    <w:abstractNumId w:val="5"/>
  </w:num>
  <w:num w:numId="3" w16cid:durableId="1602294077">
    <w:abstractNumId w:val="8"/>
  </w:num>
  <w:num w:numId="4" w16cid:durableId="1286498332">
    <w:abstractNumId w:val="0"/>
  </w:num>
  <w:num w:numId="5" w16cid:durableId="158886656">
    <w:abstractNumId w:val="6"/>
  </w:num>
  <w:num w:numId="6" w16cid:durableId="1817452548">
    <w:abstractNumId w:val="3"/>
  </w:num>
  <w:num w:numId="7" w16cid:durableId="74714068">
    <w:abstractNumId w:val="11"/>
  </w:num>
  <w:num w:numId="8" w16cid:durableId="21439159">
    <w:abstractNumId w:val="16"/>
  </w:num>
  <w:num w:numId="9" w16cid:durableId="76174450">
    <w:abstractNumId w:val="15"/>
  </w:num>
  <w:num w:numId="10" w16cid:durableId="1956053884">
    <w:abstractNumId w:val="13"/>
  </w:num>
  <w:num w:numId="11" w16cid:durableId="503402677">
    <w:abstractNumId w:val="9"/>
  </w:num>
  <w:num w:numId="12" w16cid:durableId="698701781">
    <w:abstractNumId w:val="12"/>
  </w:num>
  <w:num w:numId="13" w16cid:durableId="1397624140">
    <w:abstractNumId w:val="4"/>
  </w:num>
  <w:num w:numId="14" w16cid:durableId="2119786549">
    <w:abstractNumId w:val="7"/>
  </w:num>
  <w:num w:numId="15" w16cid:durableId="669210250">
    <w:abstractNumId w:val="1"/>
  </w:num>
  <w:num w:numId="16" w16cid:durableId="620841350">
    <w:abstractNumId w:val="2"/>
  </w:num>
  <w:num w:numId="17" w16cid:durableId="41362575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EB0"/>
    <w:rsid w:val="000A2560"/>
    <w:rsid w:val="00192DF3"/>
    <w:rsid w:val="001D6927"/>
    <w:rsid w:val="00322F72"/>
    <w:rsid w:val="00332E5C"/>
    <w:rsid w:val="0038319A"/>
    <w:rsid w:val="003E2888"/>
    <w:rsid w:val="0043633E"/>
    <w:rsid w:val="004B0AB5"/>
    <w:rsid w:val="005F51B0"/>
    <w:rsid w:val="0072094C"/>
    <w:rsid w:val="007D0EB0"/>
    <w:rsid w:val="008923F4"/>
    <w:rsid w:val="009E4406"/>
    <w:rsid w:val="00A3429C"/>
    <w:rsid w:val="00BC780A"/>
    <w:rsid w:val="00C119B1"/>
    <w:rsid w:val="00D01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62208"/>
  <w15:chartTrackingRefBased/>
  <w15:docId w15:val="{7A3F5633-C0CC-4F10-B16A-F6F55B22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0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E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E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EB0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EB0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EB0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E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E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E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E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E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E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D0EB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D0EB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D0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E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E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E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E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E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E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860</Words>
  <Characters>4908</Characters>
  <Application>Microsoft Office Word</Application>
  <DocSecurity>0</DocSecurity>
  <Lines>40</Lines>
  <Paragraphs>11</Paragraphs>
  <ScaleCrop>false</ScaleCrop>
  <Company/>
  <LinksUpToDate>false</LinksUpToDate>
  <CharactersWithSpaces>5757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VAIBHAV MODI</dc:creator>
  <cp:keywords/>
  <dc:description/>
  <cp:lastModifiedBy>VAIBHAV MODI</cp:lastModifiedBy>
  <cp:revision>7</cp:revision>
  <dcterms:created xsi:type="dcterms:W3CDTF">2025-12-29T07:33:00Z</dcterms:created>
  <dcterms:modified xsi:type="dcterms:W3CDTF">2025-12-30T12:37:00Z</dcterms:modified>
</cp:coreProperties>
</file>